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3EA5" w14:textId="1ABC58DC" w:rsidR="009D1F63" w:rsidRPr="00646FA1" w:rsidRDefault="000B14EA">
      <w:pPr>
        <w:rPr>
          <w:b/>
          <w:bCs/>
          <w:u w:val="single"/>
        </w:rPr>
      </w:pPr>
      <w:r w:rsidRPr="00646FA1">
        <w:rPr>
          <w:b/>
          <w:bCs/>
          <w:u w:val="single"/>
        </w:rPr>
        <w:t xml:space="preserve">Willy Aspinall Award </w:t>
      </w:r>
      <w:r w:rsidR="006F79FC" w:rsidRPr="00646FA1">
        <w:rPr>
          <w:b/>
          <w:bCs/>
          <w:u w:val="single"/>
        </w:rPr>
        <w:t xml:space="preserve">scoring </w:t>
      </w:r>
      <w:r w:rsidRPr="00646FA1">
        <w:rPr>
          <w:b/>
          <w:bCs/>
          <w:u w:val="single"/>
        </w:rPr>
        <w:t>guidelines</w:t>
      </w:r>
    </w:p>
    <w:p w14:paraId="50775F7C" w14:textId="0E97067F" w:rsidR="000B14EA" w:rsidRDefault="000B14EA"/>
    <w:p w14:paraId="42C41ECA" w14:textId="2D312066" w:rsidR="009B77F6" w:rsidRPr="009B77F6" w:rsidRDefault="009B77F6" w:rsidP="009B77F6">
      <w:r w:rsidRPr="009B77F6">
        <w:t>The Willy Aspinall Prize may be made annually to the lead author of an outstanding paper on applied volcanology</w:t>
      </w:r>
      <w:r w:rsidR="002B3CE1">
        <w:t xml:space="preserve"> or geoheritage</w:t>
      </w:r>
      <w:r w:rsidRPr="009B77F6">
        <w:t xml:space="preserve"> published in English, who is within three years of their being awarded a PhD at a university in the UK</w:t>
      </w:r>
    </w:p>
    <w:p w14:paraId="43297575" w14:textId="288BEB49" w:rsidR="000B14EA" w:rsidRDefault="000B14EA"/>
    <w:p w14:paraId="1ACE2AEF" w14:textId="6ECD1490" w:rsidR="000B14EA" w:rsidRDefault="000B14EA">
      <w:r w:rsidRPr="000B14EA">
        <w:t xml:space="preserve">Preference will be given to papers which reflect Professor Aspinall’s main interests in </w:t>
      </w:r>
      <w:r w:rsidRPr="00ED1391">
        <w:rPr>
          <w:i/>
          <w:iCs/>
        </w:rPr>
        <w:t>volcano geophysics, monitoring of volcanoes, early warning, volcanic hazards and risk assessment</w:t>
      </w:r>
      <w:r w:rsidRPr="000B14EA">
        <w:t>.</w:t>
      </w:r>
      <w:r w:rsidR="00C513DB" w:rsidRPr="00C513DB">
        <w:t xml:space="preserve"> </w:t>
      </w:r>
      <w:r w:rsidR="00C513DB">
        <w:t>Topics including social volcanology and geoheritage are also eligible.</w:t>
      </w:r>
    </w:p>
    <w:p w14:paraId="330B13EB" w14:textId="4B07DBD0" w:rsidR="000B14EA" w:rsidRDefault="000B14EA"/>
    <w:p w14:paraId="3C6C5682" w14:textId="77777777" w:rsidR="000B14EA" w:rsidRDefault="000B14EA" w:rsidP="000B14EA">
      <w:r>
        <w:t>The committee will take into consideration the following points:</w:t>
      </w:r>
    </w:p>
    <w:p w14:paraId="233F983D" w14:textId="77777777" w:rsidR="000B14EA" w:rsidRDefault="000B14EA" w:rsidP="000B14EA">
      <w:r>
        <w:t>• Novelty</w:t>
      </w:r>
    </w:p>
    <w:p w14:paraId="59C01BEC" w14:textId="77777777" w:rsidR="000B14EA" w:rsidRDefault="000B14EA" w:rsidP="000B14EA">
      <w:r>
        <w:t>• Quality</w:t>
      </w:r>
    </w:p>
    <w:p w14:paraId="0788924F" w14:textId="4832C995" w:rsidR="000B14EA" w:rsidRDefault="000B14EA" w:rsidP="000B14EA">
      <w:r>
        <w:t>• Practical applicability in volcanology</w:t>
      </w:r>
    </w:p>
    <w:p w14:paraId="5F6C4027" w14:textId="386CC39C" w:rsidR="009A6AF3" w:rsidRDefault="009A6AF3" w:rsidP="000B14EA"/>
    <w:p w14:paraId="6ACF27F6" w14:textId="77777777" w:rsidR="000F1A8F" w:rsidRDefault="000F1A8F" w:rsidP="000F1A8F">
      <w:r>
        <w:t xml:space="preserve">The awards panel are required to watch (or re-watch) the Royal Society video on Unconscious Bias immediately before assessing applications </w:t>
      </w:r>
      <w:hyperlink r:id="rId4" w:history="1">
        <w:r w:rsidRPr="00B80C16">
          <w:rPr>
            <w:rStyle w:val="Hyperlink"/>
          </w:rPr>
          <w:t>https://royalsociety.org/topics-policy/publications/2015/unconscious-bias/</w:t>
        </w:r>
      </w:hyperlink>
      <w:r>
        <w:t xml:space="preserve"> and then asked to rank the applications.</w:t>
      </w:r>
    </w:p>
    <w:p w14:paraId="283D074C" w14:textId="77777777" w:rsidR="000F1A8F" w:rsidRDefault="000F1A8F" w:rsidP="000F1A8F"/>
    <w:p w14:paraId="484DBD0F" w14:textId="77777777" w:rsidR="000F1A8F" w:rsidRDefault="000F1A8F" w:rsidP="000F1A8F">
      <w:r>
        <w:t>The awards panel reserves the right to make no award in any given year. It may also be appropriate for a joint award to be granted in any given year.</w:t>
      </w:r>
    </w:p>
    <w:p w14:paraId="3F98FA82" w14:textId="77777777" w:rsidR="000F1A8F" w:rsidRDefault="000F1A8F" w:rsidP="000B14EA"/>
    <w:p w14:paraId="52DA7659" w14:textId="25D3E723" w:rsidR="009A6AF3" w:rsidRPr="00AC6812" w:rsidRDefault="00F97192" w:rsidP="000B14EA">
      <w:pPr>
        <w:rPr>
          <w:u w:val="single"/>
        </w:rPr>
      </w:pPr>
      <w:r w:rsidRPr="00AC6812">
        <w:rPr>
          <w:u w:val="single"/>
        </w:rPr>
        <w:t>Scoring r</w:t>
      </w:r>
      <w:r w:rsidR="00D31FE9" w:rsidRPr="00AC6812">
        <w:rPr>
          <w:u w:val="single"/>
        </w:rPr>
        <w:t>ubric:</w:t>
      </w:r>
    </w:p>
    <w:p w14:paraId="37DB8468" w14:textId="7B73553B" w:rsidR="00D31FE9" w:rsidRDefault="00D31FE9" w:rsidP="000B14EA"/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5949"/>
        <w:gridCol w:w="3287"/>
      </w:tblGrid>
      <w:tr w:rsidR="00131538" w14:paraId="6CD2A92B" w14:textId="77777777" w:rsidTr="00131538">
        <w:tc>
          <w:tcPr>
            <w:tcW w:w="5949" w:type="dxa"/>
          </w:tcPr>
          <w:p w14:paraId="703E6E92" w14:textId="6E92C85A" w:rsidR="00D31FE9" w:rsidRDefault="00D31FE9" w:rsidP="000B14EA"/>
        </w:tc>
        <w:tc>
          <w:tcPr>
            <w:tcW w:w="3287" w:type="dxa"/>
          </w:tcPr>
          <w:p w14:paraId="2624CCD4" w14:textId="7264877D" w:rsidR="00D31FE9" w:rsidRDefault="00D31FE9" w:rsidP="000B14EA">
            <w:r>
              <w:t>Marks (out of 5</w:t>
            </w:r>
            <w:r w:rsidR="00935C69">
              <w:t xml:space="preserve"> – 1 low, 5 high</w:t>
            </w:r>
            <w:r>
              <w:t>)</w:t>
            </w:r>
          </w:p>
        </w:tc>
      </w:tr>
      <w:tr w:rsidR="00131538" w14:paraId="5472C9C4" w14:textId="77777777" w:rsidTr="00131538">
        <w:tc>
          <w:tcPr>
            <w:tcW w:w="5949" w:type="dxa"/>
          </w:tcPr>
          <w:p w14:paraId="68B0D3C0" w14:textId="442A1603" w:rsidR="00D31FE9" w:rsidRDefault="00131538" w:rsidP="000B14EA">
            <w:r>
              <w:t>W</w:t>
            </w:r>
            <w:r w:rsidR="00935C69">
              <w:t xml:space="preserve">ithin the </w:t>
            </w:r>
            <w:r>
              <w:t xml:space="preserve">themes of the </w:t>
            </w:r>
            <w:r w:rsidR="00935C69">
              <w:t xml:space="preserve">Willy Aspinall </w:t>
            </w:r>
            <w:r>
              <w:t>award</w:t>
            </w:r>
            <w:r w:rsidR="00935C69">
              <w:t>?</w:t>
            </w:r>
          </w:p>
        </w:tc>
        <w:tc>
          <w:tcPr>
            <w:tcW w:w="3287" w:type="dxa"/>
          </w:tcPr>
          <w:p w14:paraId="62B853C6" w14:textId="77777777" w:rsidR="00D31FE9" w:rsidRDefault="00D31FE9" w:rsidP="000B14EA"/>
        </w:tc>
      </w:tr>
      <w:tr w:rsidR="00131538" w14:paraId="3220C1EB" w14:textId="77777777" w:rsidTr="00131538">
        <w:tc>
          <w:tcPr>
            <w:tcW w:w="5949" w:type="dxa"/>
          </w:tcPr>
          <w:p w14:paraId="52B34130" w14:textId="008440FF" w:rsidR="00D31FE9" w:rsidRDefault="002C2D05" w:rsidP="000B14EA">
            <w:r>
              <w:t>Novelty</w:t>
            </w:r>
            <w:r w:rsidR="009C6F02">
              <w:t xml:space="preserve"> </w:t>
            </w:r>
            <w:r w:rsidR="00EC3422">
              <w:t>–</w:t>
            </w:r>
            <w:r w:rsidR="009C6F02">
              <w:t xml:space="preserve"> </w:t>
            </w:r>
            <w:r w:rsidR="00EC3422" w:rsidRPr="00EC3422">
              <w:rPr>
                <w:i/>
                <w:iCs/>
              </w:rPr>
              <w:t>motivation is unusual or different; does student contribution shine through?</w:t>
            </w:r>
          </w:p>
        </w:tc>
        <w:tc>
          <w:tcPr>
            <w:tcW w:w="3287" w:type="dxa"/>
          </w:tcPr>
          <w:p w14:paraId="41D8B83D" w14:textId="77777777" w:rsidR="00D31FE9" w:rsidRDefault="00D31FE9" w:rsidP="000B14EA"/>
        </w:tc>
      </w:tr>
      <w:tr w:rsidR="00131538" w14:paraId="661D7342" w14:textId="77777777" w:rsidTr="00131538">
        <w:tc>
          <w:tcPr>
            <w:tcW w:w="5949" w:type="dxa"/>
          </w:tcPr>
          <w:p w14:paraId="2DBC3255" w14:textId="56934A02" w:rsidR="00D31FE9" w:rsidRDefault="002C2D05" w:rsidP="000B14EA">
            <w:r>
              <w:t xml:space="preserve">Quality </w:t>
            </w:r>
            <w:r w:rsidR="00EC3422">
              <w:t xml:space="preserve">– </w:t>
            </w:r>
            <w:r w:rsidR="00EC3422" w:rsidRPr="00EC3422">
              <w:rPr>
                <w:i/>
                <w:iCs/>
              </w:rPr>
              <w:t>dataset, figures, interpretation, conclusions</w:t>
            </w:r>
          </w:p>
        </w:tc>
        <w:tc>
          <w:tcPr>
            <w:tcW w:w="3287" w:type="dxa"/>
          </w:tcPr>
          <w:p w14:paraId="27E3B82E" w14:textId="77777777" w:rsidR="00D31FE9" w:rsidRDefault="00D31FE9" w:rsidP="000B14EA"/>
        </w:tc>
      </w:tr>
      <w:tr w:rsidR="00131538" w14:paraId="132EC4DB" w14:textId="77777777" w:rsidTr="00131538">
        <w:tc>
          <w:tcPr>
            <w:tcW w:w="5949" w:type="dxa"/>
          </w:tcPr>
          <w:p w14:paraId="12DB8DCF" w14:textId="1672FBF7" w:rsidR="00D31FE9" w:rsidRDefault="002C2D05" w:rsidP="000B14EA">
            <w:r>
              <w:t xml:space="preserve">Practical applicability in </w:t>
            </w:r>
            <w:r w:rsidR="009C6F02">
              <w:t xml:space="preserve">applied </w:t>
            </w:r>
            <w:r>
              <w:t>volcanology</w:t>
            </w:r>
          </w:p>
        </w:tc>
        <w:tc>
          <w:tcPr>
            <w:tcW w:w="3287" w:type="dxa"/>
          </w:tcPr>
          <w:p w14:paraId="0BDC0815" w14:textId="77777777" w:rsidR="00D31FE9" w:rsidRDefault="00D31FE9" w:rsidP="000B14EA"/>
        </w:tc>
      </w:tr>
      <w:tr w:rsidR="00131538" w14:paraId="1A68F899" w14:textId="77777777" w:rsidTr="00131538">
        <w:tc>
          <w:tcPr>
            <w:tcW w:w="5949" w:type="dxa"/>
          </w:tcPr>
          <w:p w14:paraId="0687A9F1" w14:textId="6AE41E06" w:rsidR="00935C69" w:rsidRDefault="00935C69" w:rsidP="000B14EA">
            <w:r>
              <w:t>Statement of support</w:t>
            </w:r>
          </w:p>
        </w:tc>
        <w:tc>
          <w:tcPr>
            <w:tcW w:w="3287" w:type="dxa"/>
          </w:tcPr>
          <w:p w14:paraId="1D8F3820" w14:textId="77777777" w:rsidR="00935C69" w:rsidRDefault="00935C69" w:rsidP="000B14EA"/>
        </w:tc>
      </w:tr>
      <w:tr w:rsidR="00131538" w:rsidRPr="00485C21" w14:paraId="5226EC4B" w14:textId="77777777" w:rsidTr="00131538">
        <w:tc>
          <w:tcPr>
            <w:tcW w:w="5949" w:type="dxa"/>
          </w:tcPr>
          <w:p w14:paraId="555F998F" w14:textId="21BE4C17" w:rsidR="001C325A" w:rsidRPr="00485C21" w:rsidRDefault="001C325A" w:rsidP="000B14EA">
            <w:pPr>
              <w:rPr>
                <w:b/>
                <w:bCs/>
              </w:rPr>
            </w:pPr>
            <w:r w:rsidRPr="00485C21">
              <w:rPr>
                <w:b/>
                <w:bCs/>
              </w:rPr>
              <w:t>Total (out of 25)</w:t>
            </w:r>
          </w:p>
        </w:tc>
        <w:tc>
          <w:tcPr>
            <w:tcW w:w="3287" w:type="dxa"/>
          </w:tcPr>
          <w:p w14:paraId="4F92E9FA" w14:textId="77777777" w:rsidR="001C325A" w:rsidRPr="00485C21" w:rsidRDefault="001C325A" w:rsidP="000B14EA">
            <w:pPr>
              <w:rPr>
                <w:b/>
                <w:bCs/>
              </w:rPr>
            </w:pPr>
          </w:p>
        </w:tc>
      </w:tr>
    </w:tbl>
    <w:p w14:paraId="1299C0BB" w14:textId="1B40F3CD" w:rsidR="00D31FE9" w:rsidRDefault="00D31FE9" w:rsidP="000B14EA"/>
    <w:p w14:paraId="25D5CB14" w14:textId="25E4EE27" w:rsidR="005306E8" w:rsidRPr="005306E8" w:rsidRDefault="005306E8" w:rsidP="000B14EA">
      <w:pPr>
        <w:rPr>
          <w:u w:val="single"/>
        </w:rPr>
      </w:pPr>
      <w:r w:rsidRPr="005306E8">
        <w:rPr>
          <w:u w:val="single"/>
        </w:rPr>
        <w:t>Comments:</w:t>
      </w:r>
    </w:p>
    <w:sectPr w:rsidR="005306E8" w:rsidRPr="005306E8" w:rsidSect="003E51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EA"/>
    <w:rsid w:val="000A12EC"/>
    <w:rsid w:val="000B14EA"/>
    <w:rsid w:val="000F1A8F"/>
    <w:rsid w:val="00126B15"/>
    <w:rsid w:val="00127D28"/>
    <w:rsid w:val="00131538"/>
    <w:rsid w:val="001C325A"/>
    <w:rsid w:val="001D0FE6"/>
    <w:rsid w:val="001F49A7"/>
    <w:rsid w:val="002905FD"/>
    <w:rsid w:val="00294070"/>
    <w:rsid w:val="002A3801"/>
    <w:rsid w:val="002B3CE1"/>
    <w:rsid w:val="002C2D05"/>
    <w:rsid w:val="003755FA"/>
    <w:rsid w:val="0038125D"/>
    <w:rsid w:val="003A1559"/>
    <w:rsid w:val="003E51E0"/>
    <w:rsid w:val="004214D4"/>
    <w:rsid w:val="00431889"/>
    <w:rsid w:val="00441F32"/>
    <w:rsid w:val="00485C21"/>
    <w:rsid w:val="004957D5"/>
    <w:rsid w:val="004957F2"/>
    <w:rsid w:val="004A31D9"/>
    <w:rsid w:val="004D24F4"/>
    <w:rsid w:val="004E23AB"/>
    <w:rsid w:val="005306E8"/>
    <w:rsid w:val="00646FA1"/>
    <w:rsid w:val="006825BC"/>
    <w:rsid w:val="006964BC"/>
    <w:rsid w:val="006E139D"/>
    <w:rsid w:val="006F79FC"/>
    <w:rsid w:val="007325DC"/>
    <w:rsid w:val="007469F5"/>
    <w:rsid w:val="00807C54"/>
    <w:rsid w:val="008558F3"/>
    <w:rsid w:val="008E5A49"/>
    <w:rsid w:val="00935C69"/>
    <w:rsid w:val="009435A9"/>
    <w:rsid w:val="00962112"/>
    <w:rsid w:val="009A6AF3"/>
    <w:rsid w:val="009B77F6"/>
    <w:rsid w:val="009C6F02"/>
    <w:rsid w:val="009D3A83"/>
    <w:rsid w:val="00A354EF"/>
    <w:rsid w:val="00AC6812"/>
    <w:rsid w:val="00AC6CD3"/>
    <w:rsid w:val="00AF3911"/>
    <w:rsid w:val="00B04B49"/>
    <w:rsid w:val="00B205E7"/>
    <w:rsid w:val="00BB3718"/>
    <w:rsid w:val="00C20F61"/>
    <w:rsid w:val="00C2505B"/>
    <w:rsid w:val="00C513DB"/>
    <w:rsid w:val="00CA65C1"/>
    <w:rsid w:val="00CC109D"/>
    <w:rsid w:val="00D31FE9"/>
    <w:rsid w:val="00D4080D"/>
    <w:rsid w:val="00D50686"/>
    <w:rsid w:val="00D53F5C"/>
    <w:rsid w:val="00DA2492"/>
    <w:rsid w:val="00E151C2"/>
    <w:rsid w:val="00E37081"/>
    <w:rsid w:val="00E83FD1"/>
    <w:rsid w:val="00EC3422"/>
    <w:rsid w:val="00ED1391"/>
    <w:rsid w:val="00F67B0A"/>
    <w:rsid w:val="00F97192"/>
    <w:rsid w:val="00FD50C0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725A1"/>
  <w15:chartTrackingRefBased/>
  <w15:docId w15:val="{320B03BB-CE3B-0B4A-9300-8394B636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yalsociety.org/topics-policy/publications/2015/unconscious-bi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Gardiner</dc:creator>
  <cp:keywords/>
  <dc:description/>
  <cp:lastModifiedBy>Nicholas Gardiner</cp:lastModifiedBy>
  <cp:revision>22</cp:revision>
  <dcterms:created xsi:type="dcterms:W3CDTF">2020-07-17T07:18:00Z</dcterms:created>
  <dcterms:modified xsi:type="dcterms:W3CDTF">2021-04-23T07:58:00Z</dcterms:modified>
</cp:coreProperties>
</file>